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bookmarkStart w:id="0" w:name="_GoBack"/>
      <w:bookmarkEnd w:id="0"/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2019-00</w:t>
      </w:r>
      <w:r w:rsidR="00A44FE9">
        <w:rPr>
          <w:rFonts w:ascii="宋体" w:hAnsi="宋体" w:hint="eastAsia"/>
          <w:bCs/>
          <w:iCs/>
          <w:color w:val="000000"/>
        </w:rPr>
        <w:t>3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271FA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F271FA" w:rsidP="0000069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Default="00055030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东兴证券 </w:t>
            </w:r>
            <w:r w:rsidR="008515B4">
              <w:rPr>
                <w:rFonts w:ascii="宋体" w:hAnsi="宋体" w:hint="eastAsia"/>
                <w:color w:val="000000"/>
              </w:rPr>
              <w:t>电力设备与新能源行业首席分析师 郑丹</w:t>
            </w:r>
            <w:proofErr w:type="gramStart"/>
            <w:r w:rsidR="008515B4">
              <w:rPr>
                <w:rFonts w:ascii="宋体" w:hAnsi="宋体" w:hint="eastAsia"/>
                <w:color w:val="000000"/>
              </w:rPr>
              <w:t>丹</w:t>
            </w:r>
            <w:proofErr w:type="gramEnd"/>
          </w:p>
          <w:p w:rsidR="008515B4" w:rsidRDefault="008515B4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东兴证券 公用事业及环保行业研究员 沈</w:t>
            </w:r>
            <w:proofErr w:type="gramStart"/>
            <w:r>
              <w:rPr>
                <w:rFonts w:ascii="宋体" w:hAnsi="宋体" w:hint="eastAsia"/>
                <w:color w:val="00000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</w:rPr>
              <w:t>凡</w:t>
            </w:r>
          </w:p>
          <w:p w:rsidR="008515B4" w:rsidRPr="008515B4" w:rsidRDefault="008515B4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东兴证券 理财顾问 葛齐，陈华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8515B4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2019年</w:t>
            </w:r>
            <w:r w:rsidR="007D2F16">
              <w:rPr>
                <w:rFonts w:ascii="宋体" w:hAnsi="宋体" w:hint="eastAsia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月</w:t>
            </w:r>
            <w:r w:rsidR="00055030">
              <w:rPr>
                <w:rFonts w:ascii="宋体" w:hAnsi="宋体" w:hint="eastAsia"/>
                <w:color w:val="000000"/>
              </w:rPr>
              <w:t>17</w:t>
            </w:r>
            <w:r>
              <w:rPr>
                <w:rFonts w:ascii="宋体" w:hAnsi="宋体" w:hint="eastAsia"/>
                <w:color w:val="000000"/>
              </w:rPr>
              <w:t xml:space="preserve">日 </w:t>
            </w:r>
            <w:r w:rsidRPr="008974A7">
              <w:rPr>
                <w:rFonts w:ascii="宋体" w:hAnsi="宋体" w:hint="eastAsia"/>
                <w:color w:val="000000"/>
              </w:rPr>
              <w:t>1</w:t>
            </w:r>
            <w:r w:rsidR="007D2F16" w:rsidRPr="008974A7">
              <w:rPr>
                <w:rFonts w:ascii="宋体" w:hAnsi="宋体" w:hint="eastAsia"/>
                <w:color w:val="000000"/>
              </w:rPr>
              <w:t>0</w:t>
            </w:r>
            <w:r w:rsidRPr="008974A7">
              <w:rPr>
                <w:rFonts w:ascii="宋体" w:hAnsi="宋体" w:hint="eastAsia"/>
                <w:color w:val="000000"/>
              </w:rPr>
              <w:t>:</w:t>
            </w:r>
            <w:r w:rsidR="007D2F16" w:rsidRPr="008974A7">
              <w:rPr>
                <w:rFonts w:ascii="宋体" w:hAnsi="宋体" w:hint="eastAsia"/>
                <w:color w:val="000000"/>
              </w:rPr>
              <w:t>1</w:t>
            </w:r>
            <w:r w:rsidRPr="008974A7">
              <w:rPr>
                <w:rFonts w:ascii="宋体" w:hAnsi="宋体" w:hint="eastAsia"/>
                <w:color w:val="000000"/>
              </w:rPr>
              <w:t>0-1</w:t>
            </w:r>
            <w:r w:rsidR="008515B4" w:rsidRPr="008974A7">
              <w:rPr>
                <w:rFonts w:ascii="宋体" w:hAnsi="宋体" w:hint="eastAsia"/>
                <w:color w:val="000000"/>
              </w:rPr>
              <w:t>1</w:t>
            </w:r>
            <w:r w:rsidRPr="008974A7">
              <w:rPr>
                <w:rFonts w:ascii="宋体" w:hAnsi="宋体" w:hint="eastAsia"/>
                <w:color w:val="000000"/>
              </w:rPr>
              <w:t>:</w:t>
            </w:r>
            <w:r w:rsidR="008515B4" w:rsidRPr="008974A7"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735E35" w:rsidP="007D2F16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中广核大厦</w:t>
            </w:r>
            <w:r w:rsidR="007D2F16">
              <w:rPr>
                <w:rFonts w:ascii="宋体" w:hAnsi="宋体" w:hint="eastAsia"/>
                <w:bCs/>
                <w:iCs/>
                <w:color w:val="000000"/>
              </w:rPr>
              <w:t>1805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投资者关系部总经理兼证券事务代表 魏瑾；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 xml:space="preserve">证券事务经理 </w:t>
            </w:r>
            <w:r w:rsidR="00D970F7">
              <w:rPr>
                <w:rFonts w:ascii="宋体" w:hAnsi="宋体" w:hint="eastAsia"/>
                <w:bCs/>
                <w:iCs/>
                <w:color w:val="000000"/>
              </w:rPr>
              <w:t>陈拓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；</w:t>
            </w:r>
          </w:p>
          <w:p w:rsidR="00F271FA" w:rsidRPr="00067987" w:rsidRDefault="00735E35" w:rsidP="003B7C34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吴海霞。</w:t>
            </w:r>
          </w:p>
        </w:tc>
      </w:tr>
      <w:tr w:rsidR="00F271FA" w:rsidRPr="000E72FE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34" w:rsidRPr="000E72FE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  <w:r w:rsidRPr="000E72FE">
              <w:rPr>
                <w:rFonts w:ascii="宋体" w:hAnsi="宋体" w:hint="eastAsia"/>
              </w:rPr>
              <w:t>签署《调研承诺书》</w:t>
            </w:r>
          </w:p>
          <w:p w:rsidR="003B7C34" w:rsidRPr="000E72FE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  <w:r w:rsidRPr="000E72FE">
              <w:rPr>
                <w:rFonts w:ascii="宋体" w:hAnsi="宋体" w:hint="eastAsia"/>
              </w:rPr>
              <w:t>投资者与公司交流内容</w:t>
            </w:r>
          </w:p>
          <w:p w:rsidR="003C5476" w:rsidRPr="007B2718" w:rsidRDefault="00F542E2" w:rsidP="003C5476">
            <w:pPr>
              <w:spacing w:line="432" w:lineRule="auto"/>
              <w:ind w:firstLineChars="200" w:firstLine="480"/>
              <w:jc w:val="both"/>
              <w:rPr>
                <w:rFonts w:ascii="宋体" w:hAnsi="宋体"/>
              </w:rPr>
            </w:pPr>
            <w:r w:rsidRPr="007B2718">
              <w:rPr>
                <w:rFonts w:ascii="宋体" w:hAnsi="宋体" w:hint="eastAsia"/>
              </w:rPr>
              <w:t>首先，魏瑾女士对公司</w:t>
            </w:r>
            <w:r w:rsidR="00B74656">
              <w:rPr>
                <w:rFonts w:ascii="宋体" w:hAnsi="宋体" w:hint="eastAsia"/>
              </w:rPr>
              <w:t>及公司</w:t>
            </w:r>
            <w:r w:rsidRPr="007B2718">
              <w:rPr>
                <w:rFonts w:ascii="宋体" w:hAnsi="宋体" w:hint="eastAsia"/>
              </w:rPr>
              <w:t>2019年上半年业绩进行了简要介绍：</w:t>
            </w:r>
            <w:r w:rsidR="000E72FE">
              <w:rPr>
                <w:rFonts w:ascii="宋体" w:hAnsi="宋体" w:hint="eastAsia"/>
              </w:rPr>
              <w:t>公司</w:t>
            </w:r>
            <w:r w:rsidR="000E72FE" w:rsidRPr="000E72FE">
              <w:rPr>
                <w:rFonts w:ascii="宋体" w:hAnsi="宋体" w:hint="eastAsia"/>
              </w:rPr>
              <w:t>于2014年3月25日成立，2014年12月10日</w:t>
            </w:r>
            <w:proofErr w:type="gramStart"/>
            <w:r w:rsidR="000E72FE" w:rsidRPr="000E72FE">
              <w:rPr>
                <w:rFonts w:ascii="宋体" w:hAnsi="宋体" w:hint="eastAsia"/>
              </w:rPr>
              <w:t>于</w:t>
            </w:r>
            <w:r w:rsidR="000E72FE">
              <w:rPr>
                <w:rFonts w:ascii="宋体" w:hAnsi="宋体" w:hint="eastAsia"/>
              </w:rPr>
              <w:t>港交所</w:t>
            </w:r>
            <w:proofErr w:type="gramEnd"/>
            <w:r w:rsidR="000E72FE" w:rsidRPr="000E72FE">
              <w:rPr>
                <w:rFonts w:ascii="宋体" w:hAnsi="宋体" w:hint="eastAsia"/>
              </w:rPr>
              <w:t>上市，</w:t>
            </w:r>
            <w:r w:rsidR="000E72FE">
              <w:rPr>
                <w:rFonts w:ascii="宋体" w:hAnsi="宋体" w:hint="eastAsia"/>
              </w:rPr>
              <w:t>2019年8月26日于深交所上市，</w:t>
            </w:r>
            <w:r w:rsidR="000E72FE" w:rsidRPr="000E72FE">
              <w:rPr>
                <w:rFonts w:ascii="宋体" w:hAnsi="宋体" w:hint="eastAsia"/>
              </w:rPr>
              <w:t>控股股东为国务院国资委监管的特大型企业集团--中国广核集团，是中国广核集团有限公司核能发电的唯一平台。公司主要业务是运营及管理核电站、核电站电力销售、管理及监督核电站工程建设。</w:t>
            </w:r>
            <w:r w:rsidR="00D43D93" w:rsidRPr="00D43D93">
              <w:rPr>
                <w:rFonts w:ascii="宋体" w:hAnsi="宋体" w:hint="eastAsia"/>
              </w:rPr>
              <w:t>我们的核电装机规模持续保持国内领先</w:t>
            </w:r>
            <w:r w:rsidR="00D43D93">
              <w:rPr>
                <w:rFonts w:ascii="宋体" w:hAnsi="宋体" w:hint="eastAsia"/>
              </w:rPr>
              <w:t>，</w:t>
            </w:r>
            <w:r w:rsidR="00B74656">
              <w:rPr>
                <w:rFonts w:ascii="宋体" w:hAnsi="宋体" w:hint="eastAsia"/>
              </w:rPr>
              <w:t>公司</w:t>
            </w:r>
            <w:r w:rsidR="000E72FE">
              <w:rPr>
                <w:rFonts w:ascii="宋体" w:hAnsi="宋体" w:hint="eastAsia"/>
              </w:rPr>
              <w:t>目前</w:t>
            </w:r>
            <w:r w:rsidR="00B74656">
              <w:rPr>
                <w:rFonts w:ascii="宋体" w:hAnsi="宋体" w:hint="eastAsia"/>
              </w:rPr>
              <w:t>在运</w:t>
            </w:r>
            <w:r w:rsidR="00D43D93">
              <w:rPr>
                <w:rFonts w:ascii="宋体" w:hAnsi="宋体" w:hint="eastAsia"/>
              </w:rPr>
              <w:t>核电</w:t>
            </w:r>
            <w:r w:rsidR="00B74656">
              <w:rPr>
                <w:rFonts w:ascii="宋体" w:hAnsi="宋体" w:hint="eastAsia"/>
              </w:rPr>
              <w:t>机组24台，在建机组4台</w:t>
            </w:r>
            <w:r w:rsidR="00E8451D">
              <w:rPr>
                <w:rFonts w:ascii="宋体" w:hAnsi="宋体" w:hint="eastAsia"/>
              </w:rPr>
              <w:t>，</w:t>
            </w:r>
            <w:r w:rsidR="00D43D93">
              <w:rPr>
                <w:rFonts w:ascii="宋体" w:hAnsi="宋体" w:hint="eastAsia"/>
              </w:rPr>
              <w:t>工</w:t>
            </w:r>
            <w:r w:rsidR="00D43D93">
              <w:rPr>
                <w:rFonts w:ascii="宋体" w:hAnsi="宋体" w:hint="eastAsia"/>
              </w:rPr>
              <w:lastRenderedPageBreak/>
              <w:t>程建设稳步推进。上半年公司上网电量稳步增长，</w:t>
            </w:r>
            <w:r w:rsidR="003C5476">
              <w:rPr>
                <w:rFonts w:ascii="宋体" w:hAnsi="宋体" w:hint="eastAsia"/>
              </w:rPr>
              <w:t>市场化电量占比提升，但</w:t>
            </w:r>
            <w:r w:rsidR="00D43D93">
              <w:rPr>
                <w:rFonts w:ascii="宋体" w:hAnsi="宋体" w:hint="eastAsia"/>
              </w:rPr>
              <w:t>市场化价差逐步收窄。</w:t>
            </w:r>
            <w:r w:rsidR="003C5476">
              <w:rPr>
                <w:rFonts w:ascii="宋体" w:hAnsi="宋体" w:hint="eastAsia"/>
              </w:rPr>
              <w:t>从主营业务</w:t>
            </w:r>
            <w:proofErr w:type="gramStart"/>
            <w:r w:rsidR="003C5476">
              <w:rPr>
                <w:rFonts w:ascii="宋体" w:hAnsi="宋体" w:hint="eastAsia"/>
              </w:rPr>
              <w:t>成本占收比</w:t>
            </w:r>
            <w:proofErr w:type="gramEnd"/>
            <w:r w:rsidR="003C5476">
              <w:rPr>
                <w:rFonts w:ascii="宋体" w:hAnsi="宋体" w:hint="eastAsia"/>
              </w:rPr>
              <w:t>看，虽然市场化电量占比提高，但毛利率相对比较稳定，ROE/ROA</w:t>
            </w:r>
            <w:r w:rsidR="00936E6A">
              <w:rPr>
                <w:rFonts w:ascii="宋体" w:hAnsi="宋体" w:hint="eastAsia"/>
              </w:rPr>
              <w:t>也</w:t>
            </w:r>
            <w:r w:rsidR="003C5476">
              <w:rPr>
                <w:rFonts w:ascii="宋体" w:hAnsi="宋体" w:hint="eastAsia"/>
              </w:rPr>
              <w:t>比较稳定，</w:t>
            </w:r>
            <w:r w:rsidR="00936E6A">
              <w:rPr>
                <w:rFonts w:ascii="宋体" w:hAnsi="宋体" w:hint="eastAsia"/>
              </w:rPr>
              <w:t>不仅体现了核电边际成本优势，也</w:t>
            </w:r>
            <w:r w:rsidR="003C5476">
              <w:rPr>
                <w:rFonts w:ascii="宋体" w:hAnsi="宋体" w:hint="eastAsia"/>
              </w:rPr>
              <w:t>符合公司稳健经营的原则。</w:t>
            </w:r>
            <w:r w:rsidR="003C5476" w:rsidRPr="007B2718">
              <w:rPr>
                <w:rFonts w:ascii="宋体" w:hAnsi="宋体" w:hint="eastAsia"/>
              </w:rPr>
              <w:t>随后，进行了问答交流环节，主要内容如下：</w:t>
            </w:r>
          </w:p>
          <w:p w:rsidR="003C5476" w:rsidRDefault="00936E6A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 w:rsidRPr="00936E6A">
              <w:rPr>
                <w:rFonts w:ascii="宋体" w:hAnsi="宋体" w:hint="eastAsia"/>
              </w:rPr>
              <w:t>公司的未来储备项目计划。</w:t>
            </w:r>
          </w:p>
          <w:p w:rsidR="00936E6A" w:rsidRPr="00936E6A" w:rsidRDefault="00936E6A" w:rsidP="007453CE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目前在集团侧的储备项目有惠州</w:t>
            </w:r>
            <w:proofErr w:type="gramStart"/>
            <w:r>
              <w:rPr>
                <w:rFonts w:ascii="宋体" w:hAnsi="宋体" w:hint="eastAsia"/>
              </w:rPr>
              <w:t>太平岭项目</w:t>
            </w:r>
            <w:proofErr w:type="gramEnd"/>
            <w:r>
              <w:rPr>
                <w:rFonts w:ascii="宋体" w:hAnsi="宋体" w:hint="eastAsia"/>
              </w:rPr>
              <w:t>并已于2019年核准，正在做开工前准备；还有浙江苍南项目，</w:t>
            </w:r>
            <w:r w:rsidR="006E609B">
              <w:rPr>
                <w:rFonts w:ascii="宋体" w:hAnsi="宋体" w:hint="eastAsia"/>
              </w:rPr>
              <w:t>正在积极申请核准</w:t>
            </w:r>
            <w:r>
              <w:rPr>
                <w:rFonts w:ascii="宋体" w:hAnsi="宋体" w:hint="eastAsia"/>
              </w:rPr>
              <w:t>；</w:t>
            </w:r>
            <w:r w:rsidR="006E609B">
              <w:rPr>
                <w:rFonts w:ascii="宋体" w:hAnsi="宋体" w:hint="eastAsia"/>
              </w:rPr>
              <w:t>预计</w:t>
            </w:r>
            <w:r w:rsidR="003E6113">
              <w:rPr>
                <w:rFonts w:ascii="宋体" w:hAnsi="宋体" w:hint="eastAsia"/>
              </w:rPr>
              <w:t>该两个项目在</w:t>
            </w:r>
            <w:r>
              <w:rPr>
                <w:rFonts w:ascii="宋体" w:hAnsi="宋体" w:hint="eastAsia"/>
              </w:rPr>
              <w:t>开工后不晚于5年内</w:t>
            </w:r>
            <w:r w:rsidR="00B12E2C">
              <w:rPr>
                <w:rFonts w:ascii="宋体" w:hAnsi="宋体" w:hint="eastAsia"/>
              </w:rPr>
              <w:t>会</w:t>
            </w:r>
            <w:r>
              <w:rPr>
                <w:rFonts w:ascii="宋体" w:hAnsi="宋体" w:hint="eastAsia"/>
              </w:rPr>
              <w:t>纳入股份公司来，目前集团委托股份公司管理</w:t>
            </w:r>
            <w:r w:rsidR="003D156D">
              <w:rPr>
                <w:rFonts w:ascii="宋体" w:hAnsi="宋体" w:hint="eastAsia"/>
              </w:rPr>
              <w:t>，同时</w:t>
            </w:r>
            <w:r w:rsidR="003D156D" w:rsidRPr="00A873B7">
              <w:rPr>
                <w:rFonts w:ascii="宋体" w:hAnsi="宋体" w:hint="eastAsia"/>
              </w:rPr>
              <w:t>新项目的资产注入会充分考虑资本市场因素，时机成熟再注入上市公司</w:t>
            </w:r>
            <w:r>
              <w:rPr>
                <w:rFonts w:ascii="宋体" w:hAnsi="宋体" w:hint="eastAsia"/>
              </w:rPr>
              <w:t>。</w:t>
            </w:r>
            <w:r w:rsidR="003E6113">
              <w:rPr>
                <w:rFonts w:ascii="宋体" w:hAnsi="宋体" w:hint="eastAsia"/>
              </w:rPr>
              <w:t>在股份公司内的项目，主要是现有厂址的扩建，比如宁德二期、台山二期，阳江项目还可以再建设2台，大亚湾也可以再建设2台，还有比较前期的项目阳西和山东招远；10年以内</w:t>
            </w:r>
            <w:r w:rsidR="00B12E2C">
              <w:rPr>
                <w:rFonts w:ascii="宋体" w:hAnsi="宋体" w:hint="eastAsia"/>
              </w:rPr>
              <w:t>公司</w:t>
            </w:r>
            <w:r w:rsidR="003E6113">
              <w:rPr>
                <w:rFonts w:ascii="宋体" w:hAnsi="宋体" w:hint="eastAsia"/>
              </w:rPr>
              <w:t>的厂址储备是充足的。</w:t>
            </w:r>
          </w:p>
          <w:p w:rsidR="00936E6A" w:rsidRDefault="007453CE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未来发展的机型和</w:t>
            </w:r>
            <w:r w:rsidR="00E007BA">
              <w:rPr>
                <w:rFonts w:ascii="宋体" w:hAnsi="宋体" w:hint="eastAsia"/>
              </w:rPr>
              <w:t>预估造价</w:t>
            </w:r>
            <w:r>
              <w:rPr>
                <w:rFonts w:ascii="宋体" w:hAnsi="宋体" w:hint="eastAsia"/>
              </w:rPr>
              <w:t>。</w:t>
            </w:r>
          </w:p>
          <w:p w:rsidR="00B12E2C" w:rsidRDefault="00B12E2C" w:rsidP="00B12E2C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现在主要是开展3代核电技术项目建设，包括美国的AP1000、法国EPR及中国自主知识产权的华龙一号技术，</w:t>
            </w:r>
            <w:r w:rsidR="0079748B">
              <w:rPr>
                <w:rFonts w:ascii="宋体" w:hAnsi="宋体" w:hint="eastAsia"/>
              </w:rPr>
              <w:t>我们认为</w:t>
            </w:r>
            <w:r w:rsidR="006E609B">
              <w:rPr>
                <w:rFonts w:ascii="宋体" w:hAnsi="宋体" w:hint="eastAsia"/>
              </w:rPr>
              <w:t>华龙一号技术</w:t>
            </w:r>
            <w:proofErr w:type="gramStart"/>
            <w:r>
              <w:rPr>
                <w:rFonts w:ascii="宋体" w:hAnsi="宋体" w:hint="eastAsia"/>
              </w:rPr>
              <w:t>最</w:t>
            </w:r>
            <w:proofErr w:type="gramEnd"/>
            <w:r>
              <w:rPr>
                <w:rFonts w:ascii="宋体" w:hAnsi="宋体" w:hint="eastAsia"/>
              </w:rPr>
              <w:t>经济和最可靠，</w:t>
            </w:r>
            <w:r w:rsidR="006E609B">
              <w:rPr>
                <w:rFonts w:ascii="宋体" w:hAnsi="宋体" w:hint="eastAsia"/>
              </w:rPr>
              <w:t>在国家统一安排下,我们争取</w:t>
            </w:r>
            <w:r>
              <w:rPr>
                <w:rFonts w:ascii="宋体" w:hAnsi="宋体" w:hint="eastAsia"/>
              </w:rPr>
              <w:t>以华龙一</w:t>
            </w:r>
            <w:proofErr w:type="gramStart"/>
            <w:r>
              <w:rPr>
                <w:rFonts w:ascii="宋体" w:hAnsi="宋体" w:hint="eastAsia"/>
              </w:rPr>
              <w:t>号</w:t>
            </w:r>
            <w:r w:rsidR="006E609B">
              <w:rPr>
                <w:rFonts w:ascii="宋体" w:hAnsi="宋体" w:hint="eastAsia"/>
              </w:rPr>
              <w:t>技术</w:t>
            </w:r>
            <w:proofErr w:type="gramEnd"/>
            <w:r>
              <w:rPr>
                <w:rFonts w:ascii="宋体" w:hAnsi="宋体" w:hint="eastAsia"/>
              </w:rPr>
              <w:t>为主。</w:t>
            </w:r>
          </w:p>
          <w:p w:rsidR="00B12E2C" w:rsidRDefault="00E76EEE" w:rsidP="00B12E2C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hint="eastAsia"/>
              </w:rPr>
              <w:t>华龙一</w:t>
            </w:r>
            <w:proofErr w:type="gramStart"/>
            <w:r>
              <w:rPr>
                <w:rFonts w:hint="eastAsia"/>
              </w:rPr>
              <w:t>号技术</w:t>
            </w:r>
            <w:proofErr w:type="gramEnd"/>
            <w:r>
              <w:rPr>
                <w:rFonts w:hint="eastAsia"/>
              </w:rPr>
              <w:t>项目首台造价会稍高一些，</w:t>
            </w:r>
            <w:r w:rsidR="00B12E2C">
              <w:rPr>
                <w:rFonts w:hint="eastAsia"/>
              </w:rPr>
              <w:t>防城港二期项目总投资约为</w:t>
            </w:r>
            <w:r w:rsidR="00B12E2C">
              <w:rPr>
                <w:rFonts w:hint="eastAsia"/>
              </w:rPr>
              <w:t>375</w:t>
            </w:r>
            <w:r w:rsidR="00B12E2C">
              <w:rPr>
                <w:rFonts w:hint="eastAsia"/>
              </w:rPr>
              <w:t>亿元，单位造价约为</w:t>
            </w:r>
            <w:r w:rsidR="00B12E2C">
              <w:rPr>
                <w:rFonts w:hint="eastAsia"/>
              </w:rPr>
              <w:t>1.58</w:t>
            </w:r>
            <w:r w:rsidR="00B12E2C">
              <w:rPr>
                <w:rFonts w:hint="eastAsia"/>
              </w:rPr>
              <w:t>万</w:t>
            </w:r>
            <w:r w:rsidR="00B12E2C">
              <w:rPr>
                <w:rFonts w:hint="eastAsia"/>
              </w:rPr>
              <w:t>/</w:t>
            </w:r>
            <w:r w:rsidR="00B12E2C">
              <w:rPr>
                <w:rFonts w:hint="eastAsia"/>
              </w:rPr>
              <w:t>千瓦，随着批量化建设，未来新的华</w:t>
            </w:r>
            <w:r>
              <w:rPr>
                <w:rFonts w:hint="eastAsia"/>
              </w:rPr>
              <w:t>龙一</w:t>
            </w:r>
            <w:proofErr w:type="gramStart"/>
            <w:r>
              <w:rPr>
                <w:rFonts w:hint="eastAsia"/>
              </w:rPr>
              <w:t>号项目</w:t>
            </w:r>
            <w:proofErr w:type="gramEnd"/>
            <w:r>
              <w:rPr>
                <w:rFonts w:hint="eastAsia"/>
              </w:rPr>
              <w:t>造价有望</w:t>
            </w:r>
            <w:r w:rsidR="0079748B">
              <w:rPr>
                <w:rFonts w:hint="eastAsia"/>
              </w:rPr>
              <w:t>接近</w:t>
            </w:r>
            <w:r>
              <w:rPr>
                <w:rFonts w:hint="eastAsia"/>
              </w:rPr>
              <w:t>目前二代</w:t>
            </w:r>
            <w:r w:rsidR="0079748B">
              <w:rPr>
                <w:rFonts w:hint="eastAsia"/>
              </w:rPr>
              <w:t>加</w:t>
            </w:r>
            <w:r>
              <w:rPr>
                <w:rFonts w:hint="eastAsia"/>
              </w:rPr>
              <w:t>单位造价水平，具备经济性方面的竞争优势</w:t>
            </w:r>
            <w:r w:rsidR="00B12E2C">
              <w:rPr>
                <w:rFonts w:ascii="宋体" w:hAnsi="宋体" w:hint="eastAsia"/>
              </w:rPr>
              <w:t>。</w:t>
            </w:r>
          </w:p>
          <w:p w:rsidR="00746B92" w:rsidRDefault="00746B92" w:rsidP="00746B92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除核电业务外，公司是否有新能源、售电公司等其他业务？</w:t>
            </w:r>
          </w:p>
          <w:p w:rsidR="00746B92" w:rsidRDefault="00746B92" w:rsidP="00746B92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公司2018年将集团的售电公司买入，</w:t>
            </w:r>
            <w:r w:rsidR="00F3743A">
              <w:rPr>
                <w:rFonts w:ascii="宋体" w:hAnsi="宋体" w:hint="eastAsia"/>
              </w:rPr>
              <w:t>目前</w:t>
            </w:r>
            <w:r>
              <w:rPr>
                <w:rFonts w:ascii="宋体" w:hAnsi="宋体" w:hint="eastAsia"/>
              </w:rPr>
              <w:t>主要是提升、促进核电</w:t>
            </w:r>
            <w:r w:rsidR="00F3743A">
              <w:rPr>
                <w:rFonts w:ascii="宋体" w:hAnsi="宋体" w:hint="eastAsia"/>
              </w:rPr>
              <w:t>电量</w:t>
            </w:r>
            <w:r>
              <w:rPr>
                <w:rFonts w:ascii="宋体" w:hAnsi="宋体" w:hint="eastAsia"/>
              </w:rPr>
              <w:t>消纳，</w:t>
            </w:r>
            <w:r w:rsidR="00F3743A">
              <w:rPr>
                <w:rFonts w:ascii="宋体" w:hAnsi="宋体" w:hint="eastAsia"/>
              </w:rPr>
              <w:t>规模不大。集团有新能源公司，我们公司主营核电业务，不做新能源</w:t>
            </w:r>
            <w:r>
              <w:rPr>
                <w:rFonts w:ascii="宋体" w:hAnsi="宋体" w:hint="eastAsia"/>
              </w:rPr>
              <w:t>。</w:t>
            </w:r>
          </w:p>
          <w:p w:rsidR="00E007BA" w:rsidRDefault="00284F2A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能力因子和负荷因子</w:t>
            </w:r>
            <w:r w:rsidR="00BA61BA">
              <w:rPr>
                <w:rFonts w:ascii="宋体" w:hAnsi="宋体" w:hint="eastAsia"/>
              </w:rPr>
              <w:t>的区别</w:t>
            </w:r>
            <w:r>
              <w:rPr>
                <w:rFonts w:ascii="宋体" w:hAnsi="宋体" w:hint="eastAsia"/>
              </w:rPr>
              <w:t>。</w:t>
            </w:r>
          </w:p>
          <w:p w:rsidR="00284F2A" w:rsidRPr="00284F2A" w:rsidRDefault="00284F2A" w:rsidP="00284F2A">
            <w:pPr>
              <w:spacing w:line="432" w:lineRule="auto"/>
              <w:jc w:val="both"/>
              <w:rPr>
                <w:rFonts w:ascii="宋体" w:hAnsi="宋体"/>
              </w:rPr>
            </w:pPr>
            <w:r w:rsidRPr="00226BA6">
              <w:rPr>
                <w:rFonts w:hint="eastAsia"/>
              </w:rPr>
              <w:t>能力因子是衡量机组的可用程度，是机组发电能力的重要指标</w:t>
            </w:r>
            <w:r>
              <w:rPr>
                <w:rFonts w:hint="eastAsia"/>
              </w:rPr>
              <w:t>，简言之就是机组能够</w:t>
            </w:r>
            <w:r w:rsidR="00BA61BA">
              <w:rPr>
                <w:rFonts w:hint="eastAsia"/>
              </w:rPr>
              <w:t>达到的功率计算的</w:t>
            </w:r>
            <w:r w:rsidR="0079748B">
              <w:rPr>
                <w:rFonts w:hint="eastAsia"/>
              </w:rPr>
              <w:t>指标；</w:t>
            </w:r>
            <w:r>
              <w:rPr>
                <w:rFonts w:hint="eastAsia"/>
              </w:rPr>
              <w:t>负荷因子</w:t>
            </w:r>
            <w:r w:rsidR="00BA61BA">
              <w:rPr>
                <w:rFonts w:hint="eastAsia"/>
              </w:rPr>
              <w:t>是用实际出力计算的；比如电网要求机组降功率，能力因子不受影响，负荷因子会降低。</w:t>
            </w:r>
          </w:p>
          <w:p w:rsidR="00284F2A" w:rsidRDefault="00BA61BA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大修</w:t>
            </w:r>
            <w:r w:rsidR="00674750">
              <w:rPr>
                <w:rFonts w:ascii="宋体" w:hAnsi="宋体" w:hint="eastAsia"/>
              </w:rPr>
              <w:t>的安排和时长</w:t>
            </w:r>
            <w:r>
              <w:rPr>
                <w:rFonts w:ascii="宋体" w:hAnsi="宋体" w:hint="eastAsia"/>
              </w:rPr>
              <w:t>。</w:t>
            </w:r>
          </w:p>
          <w:p w:rsidR="00BA61BA" w:rsidRPr="00BA61BA" w:rsidRDefault="00BA61BA" w:rsidP="00674750">
            <w:pPr>
              <w:spacing w:line="432" w:lineRule="auto"/>
              <w:jc w:val="both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大修分</w:t>
            </w:r>
            <w:proofErr w:type="gramEnd"/>
            <w:r>
              <w:rPr>
                <w:rFonts w:ascii="宋体" w:hAnsi="宋体" w:hint="eastAsia"/>
              </w:rPr>
              <w:t>三种，年度大修、首次大修和十年大修；其中年度大修30天左右；首次大修和十年大修是60-90天。</w:t>
            </w:r>
            <w:r w:rsidR="00674750">
              <w:rPr>
                <w:rFonts w:ascii="宋体" w:hAnsi="宋体" w:hint="eastAsia"/>
              </w:rPr>
              <w:t>一般是采取18个月换料大修，</w:t>
            </w:r>
            <w:r w:rsidR="00674750" w:rsidRPr="00674750">
              <w:rPr>
                <w:rFonts w:ascii="宋体" w:hAnsi="宋体" w:hint="eastAsia"/>
              </w:rPr>
              <w:t>在确保安全生产的基础上，公司会以市场需求为导向，优化大修安排，根据季节性影响，采取适应性大修策略</w:t>
            </w:r>
            <w:r w:rsidR="0079748B">
              <w:rPr>
                <w:rFonts w:ascii="宋体" w:hAnsi="宋体" w:hint="eastAsia"/>
              </w:rPr>
              <w:t>，换料周期可能会上下浮动</w:t>
            </w:r>
            <w:r w:rsidR="00674750">
              <w:rPr>
                <w:rFonts w:ascii="宋体" w:hAnsi="宋体" w:hint="eastAsia"/>
              </w:rPr>
              <w:t>。</w:t>
            </w:r>
          </w:p>
          <w:p w:rsidR="00BA61BA" w:rsidRDefault="00175B7F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台山发电计划及电价。</w:t>
            </w:r>
          </w:p>
          <w:p w:rsidR="00175B7F" w:rsidRPr="00175B7F" w:rsidRDefault="00C35638" w:rsidP="00175B7F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台山核电一期机组利用小时数</w:t>
            </w:r>
            <w:r w:rsidR="00175B7F">
              <w:rPr>
                <w:rFonts w:ascii="宋体" w:hAnsi="宋体" w:hint="eastAsia"/>
              </w:rPr>
              <w:t>7500小时以内</w:t>
            </w:r>
            <w:r>
              <w:rPr>
                <w:rFonts w:ascii="宋体" w:hAnsi="宋体" w:hint="eastAsia"/>
              </w:rPr>
              <w:t>按</w:t>
            </w:r>
            <w:r w:rsidR="00175B7F">
              <w:rPr>
                <w:rFonts w:ascii="宋体" w:hAnsi="宋体" w:hint="eastAsia"/>
              </w:rPr>
              <w:t>计划电价结算，7500小时以外按照市场化结算，电价是0.435元/千瓦时</w:t>
            </w:r>
            <w:r w:rsidR="003D156D">
              <w:rPr>
                <w:rFonts w:ascii="宋体" w:hAnsi="宋体" w:hint="eastAsia"/>
              </w:rPr>
              <w:t>，不随增值税下调而调整。</w:t>
            </w:r>
          </w:p>
          <w:p w:rsidR="000A2619" w:rsidRDefault="003D156D" w:rsidP="003D156D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公司是否采用两种会计准则做两张财务报表。</w:t>
            </w:r>
          </w:p>
          <w:p w:rsidR="003B7C34" w:rsidRPr="000E72FE" w:rsidRDefault="000A2619" w:rsidP="003D156D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2018年年报开始，</w:t>
            </w:r>
            <w:r w:rsidR="003D156D">
              <w:rPr>
                <w:rFonts w:ascii="宋体" w:hAnsi="宋体" w:hint="eastAsia"/>
              </w:rPr>
              <w:t>公司就</w:t>
            </w:r>
            <w:r>
              <w:rPr>
                <w:rFonts w:ascii="宋体" w:hAnsi="宋体" w:hint="eastAsia"/>
              </w:rPr>
              <w:t>全部</w:t>
            </w:r>
            <w:r w:rsidR="004F0F9F">
              <w:rPr>
                <w:rFonts w:ascii="宋体" w:hAnsi="宋体" w:hint="eastAsia"/>
              </w:rPr>
              <w:t>采</w:t>
            </w:r>
            <w:r>
              <w:rPr>
                <w:rFonts w:ascii="宋体" w:hAnsi="宋体" w:hint="eastAsia"/>
              </w:rPr>
              <w:t>用中国会计准则</w:t>
            </w:r>
            <w:r w:rsidR="003D156D">
              <w:rPr>
                <w:rFonts w:ascii="宋体" w:hAnsi="宋体" w:hint="eastAsia"/>
              </w:rPr>
              <w:t>，不存在两种不同会计准则的财务报表。</w:t>
            </w:r>
            <w:r w:rsidR="003D156D" w:rsidRPr="000E72FE">
              <w:rPr>
                <w:rFonts w:ascii="宋体" w:hAnsi="宋体"/>
              </w:rPr>
              <w:t xml:space="preserve"> </w:t>
            </w:r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C35638">
        <w:trPr>
          <w:trHeight w:val="32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4F0F9F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2019年</w:t>
            </w:r>
            <w:r w:rsidR="00261153">
              <w:rPr>
                <w:rFonts w:ascii="宋体" w:hAnsi="宋体" w:hint="eastAsia"/>
                <w:bCs/>
                <w:iCs/>
                <w:color w:val="00000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4F0F9F">
              <w:rPr>
                <w:rFonts w:ascii="宋体" w:hAnsi="宋体" w:hint="eastAsia"/>
                <w:bCs/>
                <w:iCs/>
                <w:color w:val="000000"/>
              </w:rPr>
              <w:t>17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</w:tbl>
    <w:p w:rsidR="00121824" w:rsidRDefault="00DF0A3C" w:rsidP="00C35638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3C" w:rsidRDefault="00DF0A3C" w:rsidP="00F271FA">
      <w:r>
        <w:separator/>
      </w:r>
    </w:p>
  </w:endnote>
  <w:endnote w:type="continuationSeparator" w:id="0">
    <w:p w:rsidR="00DF0A3C" w:rsidRDefault="00DF0A3C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3C" w:rsidRDefault="00DF0A3C" w:rsidP="00F271FA">
      <w:r>
        <w:separator/>
      </w:r>
    </w:p>
  </w:footnote>
  <w:footnote w:type="continuationSeparator" w:id="0">
    <w:p w:rsidR="00DF0A3C" w:rsidRDefault="00DF0A3C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C78"/>
    <w:multiLevelType w:val="hybridMultilevel"/>
    <w:tmpl w:val="97FE53DA"/>
    <w:lvl w:ilvl="0" w:tplc="EA902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002CF3"/>
    <w:rsid w:val="00055030"/>
    <w:rsid w:val="000A2619"/>
    <w:rsid w:val="000E72FE"/>
    <w:rsid w:val="00142556"/>
    <w:rsid w:val="0014685B"/>
    <w:rsid w:val="0017401B"/>
    <w:rsid w:val="00175B7F"/>
    <w:rsid w:val="00202F07"/>
    <w:rsid w:val="0021182A"/>
    <w:rsid w:val="00213CD6"/>
    <w:rsid w:val="00261153"/>
    <w:rsid w:val="0028429E"/>
    <w:rsid w:val="00284F2A"/>
    <w:rsid w:val="002B6A4D"/>
    <w:rsid w:val="002C1657"/>
    <w:rsid w:val="002D594B"/>
    <w:rsid w:val="002D62A7"/>
    <w:rsid w:val="002D699E"/>
    <w:rsid w:val="003643D0"/>
    <w:rsid w:val="00390B71"/>
    <w:rsid w:val="003B7C34"/>
    <w:rsid w:val="003C5476"/>
    <w:rsid w:val="003C6A28"/>
    <w:rsid w:val="003D156D"/>
    <w:rsid w:val="003E6113"/>
    <w:rsid w:val="004508B2"/>
    <w:rsid w:val="00450B00"/>
    <w:rsid w:val="00452846"/>
    <w:rsid w:val="00484889"/>
    <w:rsid w:val="004864E1"/>
    <w:rsid w:val="0049635B"/>
    <w:rsid w:val="004D65C2"/>
    <w:rsid w:val="004F0F9F"/>
    <w:rsid w:val="00500DFE"/>
    <w:rsid w:val="00573648"/>
    <w:rsid w:val="005862B1"/>
    <w:rsid w:val="005E5057"/>
    <w:rsid w:val="00602CEC"/>
    <w:rsid w:val="00674750"/>
    <w:rsid w:val="006E609B"/>
    <w:rsid w:val="00717A4F"/>
    <w:rsid w:val="00735E35"/>
    <w:rsid w:val="007453CE"/>
    <w:rsid w:val="00746B92"/>
    <w:rsid w:val="00747A05"/>
    <w:rsid w:val="0079748B"/>
    <w:rsid w:val="007B2718"/>
    <w:rsid w:val="007D2F16"/>
    <w:rsid w:val="008515B4"/>
    <w:rsid w:val="00864C48"/>
    <w:rsid w:val="008666F6"/>
    <w:rsid w:val="008974A7"/>
    <w:rsid w:val="00936E6A"/>
    <w:rsid w:val="00975F43"/>
    <w:rsid w:val="009817DA"/>
    <w:rsid w:val="00982F6D"/>
    <w:rsid w:val="00987F29"/>
    <w:rsid w:val="009934AF"/>
    <w:rsid w:val="009A4AC7"/>
    <w:rsid w:val="009A53EB"/>
    <w:rsid w:val="009D2EA2"/>
    <w:rsid w:val="009E33A7"/>
    <w:rsid w:val="00A44FE9"/>
    <w:rsid w:val="00A54D24"/>
    <w:rsid w:val="00A873B7"/>
    <w:rsid w:val="00AF7127"/>
    <w:rsid w:val="00B12E2C"/>
    <w:rsid w:val="00B30E17"/>
    <w:rsid w:val="00B633CE"/>
    <w:rsid w:val="00B6653C"/>
    <w:rsid w:val="00B74656"/>
    <w:rsid w:val="00BA61BA"/>
    <w:rsid w:val="00BC5E08"/>
    <w:rsid w:val="00C2551A"/>
    <w:rsid w:val="00C35638"/>
    <w:rsid w:val="00C4075D"/>
    <w:rsid w:val="00C438DC"/>
    <w:rsid w:val="00C62901"/>
    <w:rsid w:val="00CC2908"/>
    <w:rsid w:val="00D05733"/>
    <w:rsid w:val="00D1746D"/>
    <w:rsid w:val="00D43D93"/>
    <w:rsid w:val="00D51162"/>
    <w:rsid w:val="00D970F7"/>
    <w:rsid w:val="00DA72AD"/>
    <w:rsid w:val="00DE0E42"/>
    <w:rsid w:val="00DF0A3C"/>
    <w:rsid w:val="00DF3168"/>
    <w:rsid w:val="00E007BA"/>
    <w:rsid w:val="00E11F77"/>
    <w:rsid w:val="00E134DE"/>
    <w:rsid w:val="00E76EEE"/>
    <w:rsid w:val="00E77C37"/>
    <w:rsid w:val="00E8451D"/>
    <w:rsid w:val="00E902C2"/>
    <w:rsid w:val="00E907B7"/>
    <w:rsid w:val="00EA37BC"/>
    <w:rsid w:val="00EB29C4"/>
    <w:rsid w:val="00EC4F74"/>
    <w:rsid w:val="00EC5B76"/>
    <w:rsid w:val="00EE30D7"/>
    <w:rsid w:val="00EE7B93"/>
    <w:rsid w:val="00F11FCB"/>
    <w:rsid w:val="00F271FA"/>
    <w:rsid w:val="00F3743A"/>
    <w:rsid w:val="00F542E2"/>
    <w:rsid w:val="00F910A1"/>
    <w:rsid w:val="00FD2370"/>
    <w:rsid w:val="00FE4124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DE6E-B5A1-4DCF-BE21-DE6CED3E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2</cp:revision>
  <dcterms:created xsi:type="dcterms:W3CDTF">2019-10-30T10:55:00Z</dcterms:created>
  <dcterms:modified xsi:type="dcterms:W3CDTF">2019-10-30T10:55:00Z</dcterms:modified>
</cp:coreProperties>
</file>