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bookmarkStart w:id="0" w:name="_GoBack"/>
      <w:bookmarkEnd w:id="0"/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2019-00</w:t>
      </w:r>
      <w:r w:rsidR="00500DFE">
        <w:rPr>
          <w:rFonts w:ascii="宋体" w:hAnsi="宋体" w:hint="eastAsia"/>
          <w:bCs/>
          <w:iCs/>
          <w:color w:val="000000"/>
        </w:rPr>
        <w:t>2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271FA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F271FA" w:rsidP="0000069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A103E" w:rsidRDefault="00D970F7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东方证券 首席分析师 潘捷，研究员 黄海</w:t>
            </w:r>
            <w:proofErr w:type="gramStart"/>
            <w:r>
              <w:rPr>
                <w:rFonts w:ascii="宋体" w:hAnsi="宋体" w:hint="eastAsia"/>
                <w:color w:val="000000"/>
              </w:rPr>
              <w:t>澜</w:t>
            </w:r>
            <w:proofErr w:type="gramEnd"/>
            <w:r>
              <w:rPr>
                <w:rFonts w:ascii="宋体" w:hAnsi="宋体" w:hint="eastAsia"/>
                <w:color w:val="000000"/>
              </w:rPr>
              <w:t>。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7D2F16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2019年</w:t>
            </w:r>
            <w:r w:rsidR="007D2F16">
              <w:rPr>
                <w:rFonts w:ascii="宋体" w:hAnsi="宋体" w:hint="eastAsia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月</w:t>
            </w:r>
            <w:r w:rsidR="007D2F16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日 1</w:t>
            </w:r>
            <w:r w:rsidR="007D2F16"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7D2F16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0-1</w:t>
            </w:r>
            <w:r w:rsidR="007D2F16"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7D2F16">
              <w:rPr>
                <w:rFonts w:ascii="宋体" w:hAnsi="宋体" w:hint="eastAsia"/>
                <w:color w:val="000000"/>
              </w:rPr>
              <w:t>45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735E35" w:rsidP="007D2F16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中广核大厦</w:t>
            </w:r>
            <w:r w:rsidR="007D2F16">
              <w:rPr>
                <w:rFonts w:ascii="宋体" w:hAnsi="宋体" w:hint="eastAsia"/>
                <w:bCs/>
                <w:iCs/>
                <w:color w:val="000000"/>
              </w:rPr>
              <w:t>1805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投资者关系部总经理兼证券事务代表 魏瑾；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 xml:space="preserve">证券事务经理 </w:t>
            </w:r>
            <w:r w:rsidR="00D970F7">
              <w:rPr>
                <w:rFonts w:ascii="宋体" w:hAnsi="宋体" w:hint="eastAsia"/>
                <w:bCs/>
                <w:iCs/>
                <w:color w:val="000000"/>
              </w:rPr>
              <w:t>陈拓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；</w:t>
            </w:r>
          </w:p>
          <w:p w:rsidR="00F271FA" w:rsidRPr="00067987" w:rsidRDefault="00735E35" w:rsidP="003B7C34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吴海霞。</w:t>
            </w:r>
          </w:p>
        </w:tc>
      </w:tr>
      <w:tr w:rsidR="00F271FA" w:rsidRPr="00067987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34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签署《调研承诺书》</w:t>
            </w:r>
          </w:p>
          <w:p w:rsidR="003B7C34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投资者与公司交流内容</w:t>
            </w:r>
          </w:p>
          <w:p w:rsidR="00F542E2" w:rsidRPr="007B2718" w:rsidRDefault="00F542E2" w:rsidP="00F542E2">
            <w:pPr>
              <w:spacing w:line="432" w:lineRule="auto"/>
              <w:ind w:firstLineChars="200" w:firstLine="480"/>
              <w:jc w:val="both"/>
              <w:rPr>
                <w:rFonts w:ascii="宋体" w:hAnsi="宋体"/>
              </w:rPr>
            </w:pPr>
            <w:r w:rsidRPr="007B2718">
              <w:rPr>
                <w:rFonts w:ascii="宋体" w:hAnsi="宋体" w:hint="eastAsia"/>
              </w:rPr>
              <w:t>首先，魏瑾女士对公司2019年上半年业绩进行了简要介绍：2019年上半年，公司实现上网电量799.52亿千瓦时，同比增加11.97%。实现营业</w:t>
            </w:r>
            <w:r w:rsidRPr="007B2718">
              <w:rPr>
                <w:rFonts w:ascii="宋体" w:hAnsi="宋体"/>
              </w:rPr>
              <w:t>收入</w:t>
            </w:r>
            <w:r w:rsidRPr="007B2718">
              <w:rPr>
                <w:rFonts w:ascii="宋体" w:hAnsi="宋体" w:hint="eastAsia"/>
              </w:rPr>
              <w:t>265.23</w:t>
            </w:r>
            <w:r w:rsidRPr="007B2718">
              <w:rPr>
                <w:rFonts w:ascii="宋体" w:hAnsi="宋体"/>
              </w:rPr>
              <w:t>亿元</w:t>
            </w:r>
            <w:r w:rsidRPr="007B2718">
              <w:rPr>
                <w:rFonts w:ascii="宋体" w:hAnsi="宋体" w:hint="eastAsia"/>
              </w:rPr>
              <w:t>人民币</w:t>
            </w:r>
            <w:r w:rsidRPr="007B2718">
              <w:rPr>
                <w:rFonts w:ascii="宋体" w:hAnsi="宋体"/>
              </w:rPr>
              <w:t>，同比提升</w:t>
            </w:r>
            <w:r w:rsidRPr="007B2718">
              <w:rPr>
                <w:rFonts w:ascii="宋体" w:hAnsi="宋体" w:hint="eastAsia"/>
              </w:rPr>
              <w:t>15.3</w:t>
            </w:r>
            <w:r w:rsidRPr="007B2718">
              <w:rPr>
                <w:rFonts w:ascii="宋体" w:hAnsi="宋体"/>
              </w:rPr>
              <w:t>%。</w:t>
            </w:r>
            <w:r w:rsidRPr="007B2718">
              <w:rPr>
                <w:rFonts w:ascii="宋体" w:hAnsi="宋体" w:hint="eastAsia"/>
              </w:rPr>
              <w:t>归属于母公司净利润为50.23亿元人民币，同比提升10.0%。截止2019年8月31日，公司运营管理23台在运和具备商运条件的核电机组，总装机容量为31,740MW。随后，进行了问答交流环节，主要内容如下：</w:t>
            </w:r>
          </w:p>
          <w:p w:rsidR="00F542E2" w:rsidRPr="00A873B7" w:rsidRDefault="002D62A7" w:rsidP="00A873B7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未来公司资产负债率是否会进一步提升。</w:t>
            </w:r>
          </w:p>
          <w:p w:rsidR="00DA72AD" w:rsidRPr="00A873B7" w:rsidRDefault="002D62A7" w:rsidP="00A873B7">
            <w:pPr>
              <w:pStyle w:val="a5"/>
              <w:spacing w:line="360" w:lineRule="auto"/>
              <w:ind w:left="720" w:firstLineChars="0" w:firstLine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lastRenderedPageBreak/>
              <w:t>发行A股前，公司的资产负债率约为69%，此次发行A股募集资金，除投资建设项目外，也有助于进一步降低公司资产负债率，</w:t>
            </w:r>
            <w:r w:rsidR="00E11F77" w:rsidRPr="00A873B7">
              <w:rPr>
                <w:rFonts w:ascii="宋体" w:hAnsi="宋体" w:hint="eastAsia"/>
              </w:rPr>
              <w:t>进而</w:t>
            </w:r>
            <w:r w:rsidRPr="00A873B7">
              <w:rPr>
                <w:rFonts w:ascii="宋体" w:hAnsi="宋体" w:hint="eastAsia"/>
              </w:rPr>
              <w:t>降低债务风险，持续提升公司偿债能力</w:t>
            </w:r>
            <w:r w:rsidR="00DA72AD" w:rsidRPr="00A873B7">
              <w:rPr>
                <w:rFonts w:ascii="宋体" w:hAnsi="宋体" w:hint="eastAsia"/>
              </w:rPr>
              <w:t>。</w:t>
            </w:r>
          </w:p>
          <w:p w:rsidR="00DA72AD" w:rsidRPr="00A873B7" w:rsidRDefault="0049635B" w:rsidP="00A873B7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公司下半年投产计划。</w:t>
            </w:r>
          </w:p>
          <w:p w:rsidR="0049635B" w:rsidRPr="00A873B7" w:rsidRDefault="0049635B" w:rsidP="00A873B7">
            <w:pPr>
              <w:pStyle w:val="a5"/>
              <w:spacing w:line="360" w:lineRule="auto"/>
              <w:ind w:left="720" w:firstLineChars="0" w:firstLine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阳江6号机组已于2019年7月24日具备商业运营条件，台山2号机组也将于近期投产。</w:t>
            </w:r>
          </w:p>
          <w:p w:rsidR="0049635B" w:rsidRPr="00A873B7" w:rsidRDefault="0049635B" w:rsidP="00A873B7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公司上半年利用小时数稍降，7、8月份是否有好转？</w:t>
            </w:r>
          </w:p>
          <w:p w:rsidR="0049635B" w:rsidRPr="00A873B7" w:rsidRDefault="00002CF3" w:rsidP="00A873B7">
            <w:pPr>
              <w:pStyle w:val="a5"/>
              <w:spacing w:line="360" w:lineRule="auto"/>
              <w:ind w:left="720" w:firstLineChars="0" w:firstLine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2019年1</w:t>
            </w:r>
            <w:r w:rsidRPr="00A873B7">
              <w:rPr>
                <w:rFonts w:ascii="宋体" w:hAnsi="宋体"/>
              </w:rPr>
              <w:t>-6月</w:t>
            </w:r>
            <w:r w:rsidRPr="00A873B7">
              <w:rPr>
                <w:rFonts w:ascii="宋体" w:hAnsi="宋体" w:hint="eastAsia"/>
              </w:rPr>
              <w:t>公司机组平均利用小时数为3501小时，去年同期为3</w:t>
            </w:r>
            <w:r w:rsidRPr="00A873B7">
              <w:rPr>
                <w:rFonts w:ascii="宋体" w:hAnsi="宋体"/>
              </w:rPr>
              <w:t>534</w:t>
            </w:r>
            <w:r w:rsidRPr="00A873B7">
              <w:rPr>
                <w:rFonts w:ascii="宋体" w:hAnsi="宋体" w:hint="eastAsia"/>
              </w:rPr>
              <w:t>小时，同比减少33小时，同比变化为-0.93%，利用小时数基本持平，主要是由于上半年来水颇丰和配合电网减载和</w:t>
            </w:r>
            <w:proofErr w:type="gramStart"/>
            <w:r w:rsidRPr="00A873B7">
              <w:rPr>
                <w:rFonts w:ascii="宋体" w:hAnsi="宋体" w:hint="eastAsia"/>
              </w:rPr>
              <w:t>停备时间</w:t>
            </w:r>
            <w:proofErr w:type="gramEnd"/>
            <w:r w:rsidRPr="00A873B7">
              <w:rPr>
                <w:rFonts w:ascii="宋体" w:hAnsi="宋体" w:hint="eastAsia"/>
              </w:rPr>
              <w:t>较去年同期增加，目前公司机组整体利用率在提升，我们会抓住机会，多发满发，实现年度目标。</w:t>
            </w:r>
          </w:p>
          <w:p w:rsidR="0049635B" w:rsidRPr="00A873B7" w:rsidRDefault="00142556" w:rsidP="00A873B7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公司债务结构以银行借款为主，后续结构是否会调整。</w:t>
            </w:r>
          </w:p>
          <w:p w:rsidR="003C6A28" w:rsidRPr="00A873B7" w:rsidRDefault="00142556" w:rsidP="00A873B7">
            <w:pPr>
              <w:pStyle w:val="a5"/>
              <w:spacing w:line="360" w:lineRule="auto"/>
              <w:ind w:left="720" w:firstLineChars="0" w:firstLine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核电项目由于行业特点，以项目长期贷款为主，考虑稳定和融资成本因素，银行借款是比较合理的选择。</w:t>
            </w:r>
          </w:p>
          <w:p w:rsidR="00142556" w:rsidRPr="00A873B7" w:rsidRDefault="00B6653C" w:rsidP="00A873B7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公司的分红政策。</w:t>
            </w:r>
          </w:p>
          <w:p w:rsidR="00E77C37" w:rsidRPr="00A873B7" w:rsidRDefault="00B6653C" w:rsidP="00A873B7">
            <w:pPr>
              <w:pStyle w:val="a5"/>
              <w:spacing w:line="360" w:lineRule="auto"/>
              <w:ind w:left="720" w:firstLineChars="0" w:firstLine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公司管理层对分红政策是秉持</w:t>
            </w:r>
            <w:r w:rsidR="009817DA" w:rsidRPr="00A873B7">
              <w:rPr>
                <w:rFonts w:ascii="宋体" w:hAnsi="宋体" w:hint="eastAsia"/>
              </w:rPr>
              <w:t>谨慎适度稳健增长</w:t>
            </w:r>
            <w:r w:rsidRPr="00A873B7">
              <w:rPr>
                <w:rFonts w:ascii="宋体" w:hAnsi="宋体" w:hint="eastAsia"/>
              </w:rPr>
              <w:t>的原则，长期为股东提供稳定持续且适度增长的股息回报</w:t>
            </w:r>
            <w:r w:rsidR="009817DA" w:rsidRPr="00A873B7">
              <w:rPr>
                <w:rFonts w:ascii="宋体" w:hAnsi="宋体" w:hint="eastAsia"/>
              </w:rPr>
              <w:t>。</w:t>
            </w:r>
          </w:p>
          <w:p w:rsidR="00B6653C" w:rsidRPr="00A873B7" w:rsidRDefault="00B6653C" w:rsidP="00A873B7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 w:rsidRPr="00A873B7">
              <w:rPr>
                <w:rFonts w:ascii="宋体" w:hAnsi="宋体" w:hint="eastAsia"/>
              </w:rPr>
              <w:t>公司是否有新项目核准，资产注入的安排。</w:t>
            </w:r>
          </w:p>
          <w:p w:rsidR="003B7C34" w:rsidRPr="00573648" w:rsidRDefault="00B6653C" w:rsidP="00A873B7">
            <w:pPr>
              <w:pStyle w:val="a5"/>
              <w:spacing w:line="360" w:lineRule="auto"/>
              <w:ind w:left="720" w:firstLineChars="0" w:firstLine="0"/>
              <w:jc w:val="both"/>
            </w:pPr>
            <w:r w:rsidRPr="00A873B7">
              <w:rPr>
                <w:rFonts w:ascii="宋体" w:hAnsi="宋体" w:hint="eastAsia"/>
              </w:rPr>
              <w:t>2019年新核准的惠州项目2台机组是在控股股东中广核集团内；</w:t>
            </w:r>
            <w:r w:rsidR="00261153" w:rsidRPr="00A873B7">
              <w:rPr>
                <w:rFonts w:ascii="宋体" w:hAnsi="宋体" w:hint="eastAsia"/>
              </w:rPr>
              <w:t>新项目的资产注入会充分考虑资本市场因素，时机成熟再注入上市公司。</w:t>
            </w:r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26115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2019年</w:t>
            </w:r>
            <w:r w:rsidR="00261153">
              <w:rPr>
                <w:rFonts w:ascii="宋体" w:hAnsi="宋体" w:hint="eastAsia"/>
                <w:bCs/>
                <w:iCs/>
                <w:color w:val="00000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月3日</w:t>
            </w:r>
          </w:p>
        </w:tc>
      </w:tr>
    </w:tbl>
    <w:p w:rsidR="00121824" w:rsidRDefault="000E196C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6C" w:rsidRDefault="000E196C" w:rsidP="00F271FA">
      <w:r>
        <w:separator/>
      </w:r>
    </w:p>
  </w:endnote>
  <w:endnote w:type="continuationSeparator" w:id="0">
    <w:p w:rsidR="000E196C" w:rsidRDefault="000E196C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6C" w:rsidRDefault="000E196C" w:rsidP="00F271FA">
      <w:r>
        <w:separator/>
      </w:r>
    </w:p>
  </w:footnote>
  <w:footnote w:type="continuationSeparator" w:id="0">
    <w:p w:rsidR="000E196C" w:rsidRDefault="000E196C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002CF3"/>
    <w:rsid w:val="000E196C"/>
    <w:rsid w:val="00142556"/>
    <w:rsid w:val="00202F07"/>
    <w:rsid w:val="0021182A"/>
    <w:rsid w:val="00261153"/>
    <w:rsid w:val="0028429E"/>
    <w:rsid w:val="002D594B"/>
    <w:rsid w:val="002D62A7"/>
    <w:rsid w:val="002D699E"/>
    <w:rsid w:val="003B7C34"/>
    <w:rsid w:val="003C6A28"/>
    <w:rsid w:val="004508B2"/>
    <w:rsid w:val="00450B00"/>
    <w:rsid w:val="00452846"/>
    <w:rsid w:val="00484889"/>
    <w:rsid w:val="0049635B"/>
    <w:rsid w:val="00500DFE"/>
    <w:rsid w:val="00573648"/>
    <w:rsid w:val="005862B1"/>
    <w:rsid w:val="00717A4F"/>
    <w:rsid w:val="00735E35"/>
    <w:rsid w:val="00747A05"/>
    <w:rsid w:val="007B2718"/>
    <w:rsid w:val="007D2F16"/>
    <w:rsid w:val="00864C48"/>
    <w:rsid w:val="008666F6"/>
    <w:rsid w:val="009554E7"/>
    <w:rsid w:val="009817DA"/>
    <w:rsid w:val="00982F6D"/>
    <w:rsid w:val="00987F29"/>
    <w:rsid w:val="009934AF"/>
    <w:rsid w:val="009D2EA2"/>
    <w:rsid w:val="009E33A7"/>
    <w:rsid w:val="00A54D24"/>
    <w:rsid w:val="00A873B7"/>
    <w:rsid w:val="00B6653C"/>
    <w:rsid w:val="00BC5E08"/>
    <w:rsid w:val="00C2551A"/>
    <w:rsid w:val="00C4075D"/>
    <w:rsid w:val="00C438DC"/>
    <w:rsid w:val="00C62901"/>
    <w:rsid w:val="00CC2908"/>
    <w:rsid w:val="00D05733"/>
    <w:rsid w:val="00D51162"/>
    <w:rsid w:val="00D970F7"/>
    <w:rsid w:val="00DA72AD"/>
    <w:rsid w:val="00DE0E42"/>
    <w:rsid w:val="00DF3168"/>
    <w:rsid w:val="00E11F77"/>
    <w:rsid w:val="00E77C37"/>
    <w:rsid w:val="00E902C2"/>
    <w:rsid w:val="00E907B7"/>
    <w:rsid w:val="00EB29C4"/>
    <w:rsid w:val="00EC4F74"/>
    <w:rsid w:val="00EC5B76"/>
    <w:rsid w:val="00F271FA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CC3D-36CE-4E7F-A03F-D2954408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2</cp:revision>
  <dcterms:created xsi:type="dcterms:W3CDTF">2019-10-30T10:50:00Z</dcterms:created>
  <dcterms:modified xsi:type="dcterms:W3CDTF">2019-10-30T10:50:00Z</dcterms:modified>
</cp:coreProperties>
</file>